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Fair Wear and Tear Assessment Guide</w:t>
      </w:r>
    </w:p>
    <w:p>
      <w:pPr>
        <w:jc w:val="left"/>
      </w:pPr>
      <w:r>
        <w:rPr>
          <w:b/>
          <w:color w:val="FF006E"/>
          <w:sz w:val="22"/>
        </w:rPr>
        <w:t>South African Landlords Association  |  Member resource</w:t>
      </w:r>
    </w:p>
    <w:p>
      <w:r>
        <w:t>This working guide helps distinguish gradual deterioration from tenant-caused damage. No single example decides a case; assess the lease, entry condition, duration, occupants, item age, quality and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6"/>
        <w:gridCol w:w="3286"/>
        <w:gridCol w:w="3286"/>
      </w:tblGrid>
      <w:tr>
        <w:tc>
          <w:tcPr>
            <w:tcW w:type="dxa" w:w="1814"/>
            <w:shd w:fill="183153"/>
            <w:vAlign w:val="center"/>
            <w:tcMar>
              <w:top w:w="120" w:type="dxa"/>
              <w:start w:w="140" w:type="dxa"/>
              <w:bottom w:w="120" w:type="dxa"/>
              <w:end w:w="140" w:type="dxa"/>
            </w:tcMar>
          </w:tcPr>
          <w:p>
            <w:r>
              <w:rPr>
                <w:b/>
                <w:color w:val="FFFFFF"/>
                <w:sz w:val="18"/>
              </w:rPr>
              <w:t>Factor</w:t>
            </w:r>
          </w:p>
        </w:tc>
        <w:tc>
          <w:tcPr>
            <w:tcW w:type="dxa" w:w="3742"/>
            <w:shd w:fill="183153"/>
            <w:vAlign w:val="center"/>
            <w:tcMar>
              <w:top w:w="120" w:type="dxa"/>
              <w:start w:w="140" w:type="dxa"/>
              <w:bottom w:w="120" w:type="dxa"/>
              <w:end w:w="140" w:type="dxa"/>
            </w:tcMar>
          </w:tcPr>
          <w:p>
            <w:r>
              <w:rPr>
                <w:b/>
                <w:color w:val="FFFFFF"/>
                <w:sz w:val="18"/>
              </w:rPr>
              <w:t>Points toward fair wear and tear</w:t>
            </w:r>
          </w:p>
        </w:tc>
        <w:tc>
          <w:tcPr>
            <w:tcW w:type="dxa" w:w="3798"/>
            <w:shd w:fill="183153"/>
            <w:vAlign w:val="center"/>
            <w:tcMar>
              <w:top w:w="120" w:type="dxa"/>
              <w:start w:w="140" w:type="dxa"/>
              <w:bottom w:w="120" w:type="dxa"/>
              <w:end w:w="140" w:type="dxa"/>
            </w:tcMar>
          </w:tcPr>
          <w:p>
            <w:r>
              <w:rPr>
                <w:b/>
                <w:color w:val="FFFFFF"/>
                <w:sz w:val="18"/>
              </w:rPr>
              <w:t>Points toward damage</w:t>
            </w:r>
          </w:p>
        </w:tc>
      </w:tr>
      <w:tr>
        <w:tc>
          <w:tcPr>
            <w:tcW w:type="dxa" w:w="1814"/>
            <w:vAlign w:val="center"/>
            <w:tcMar>
              <w:top w:w="120" w:type="dxa"/>
              <w:start w:w="140" w:type="dxa"/>
              <w:bottom w:w="120" w:type="dxa"/>
              <w:end w:w="140" w:type="dxa"/>
            </w:tcMar>
          </w:tcPr>
          <w:p>
            <w:r>
              <w:rPr>
                <w:sz w:val="18"/>
              </w:rPr>
              <w:t>Cause</w:t>
            </w:r>
          </w:p>
        </w:tc>
        <w:tc>
          <w:tcPr>
            <w:tcW w:type="dxa" w:w="3742"/>
            <w:vAlign w:val="center"/>
            <w:tcMar>
              <w:top w:w="120" w:type="dxa"/>
              <w:start w:w="140" w:type="dxa"/>
              <w:bottom w:w="120" w:type="dxa"/>
              <w:end w:w="140" w:type="dxa"/>
            </w:tcMar>
          </w:tcPr>
          <w:p>
            <w:r>
              <w:rPr>
                <w:sz w:val="18"/>
              </w:rPr>
              <w:t>Normal daily use, ageing, sunlight, weather or inherent defect.</w:t>
            </w:r>
          </w:p>
        </w:tc>
        <w:tc>
          <w:tcPr>
            <w:tcW w:type="dxa" w:w="3798"/>
            <w:vAlign w:val="center"/>
            <w:tcMar>
              <w:top w:w="120" w:type="dxa"/>
              <w:start w:w="140" w:type="dxa"/>
              <w:bottom w:w="120" w:type="dxa"/>
              <w:end w:w="140" w:type="dxa"/>
            </w:tcMar>
          </w:tcPr>
          <w:p>
            <w:r>
              <w:rPr>
                <w:sz w:val="18"/>
              </w:rPr>
              <w:t>Misuse, accident, negligence, deliberate act or unauthorised alteration.</w:t>
            </w:r>
          </w:p>
        </w:tc>
      </w:tr>
      <w:tr>
        <w:tc>
          <w:tcPr>
            <w:tcW w:type="dxa" w:w="1814"/>
            <w:vAlign w:val="center"/>
            <w:tcMar>
              <w:top w:w="120" w:type="dxa"/>
              <w:start w:w="140" w:type="dxa"/>
              <w:bottom w:w="120" w:type="dxa"/>
              <w:end w:w="140" w:type="dxa"/>
            </w:tcMar>
            <w:shd w:fill="EEF3F8"/>
          </w:tcPr>
          <w:p>
            <w:r>
              <w:rPr>
                <w:sz w:val="18"/>
              </w:rPr>
              <w:t>Pattern</w:t>
            </w:r>
          </w:p>
        </w:tc>
        <w:tc>
          <w:tcPr>
            <w:tcW w:type="dxa" w:w="3742"/>
            <w:vAlign w:val="center"/>
            <w:tcMar>
              <w:top w:w="120" w:type="dxa"/>
              <w:start w:w="140" w:type="dxa"/>
              <w:bottom w:w="120" w:type="dxa"/>
              <w:end w:w="140" w:type="dxa"/>
            </w:tcMar>
            <w:shd w:fill="EEF3F8"/>
          </w:tcPr>
          <w:p>
            <w:r>
              <w:rPr>
                <w:sz w:val="18"/>
              </w:rPr>
              <w:t>Gradual, even or consistent deterioration.</w:t>
            </w:r>
          </w:p>
        </w:tc>
        <w:tc>
          <w:tcPr>
            <w:tcW w:type="dxa" w:w="3798"/>
            <w:vAlign w:val="center"/>
            <w:tcMar>
              <w:top w:w="120" w:type="dxa"/>
              <w:start w:w="140" w:type="dxa"/>
              <w:bottom w:w="120" w:type="dxa"/>
              <w:end w:w="140" w:type="dxa"/>
            </w:tcMar>
            <w:shd w:fill="EEF3F8"/>
          </w:tcPr>
          <w:p>
            <w:r>
              <w:rPr>
                <w:sz w:val="18"/>
              </w:rPr>
              <w:t>Localised breakage, burns, deep stains, holes or missing items.</w:t>
            </w:r>
          </w:p>
        </w:tc>
      </w:tr>
      <w:tr>
        <w:tc>
          <w:tcPr>
            <w:tcW w:type="dxa" w:w="1814"/>
            <w:vAlign w:val="center"/>
            <w:tcMar>
              <w:top w:w="120" w:type="dxa"/>
              <w:start w:w="140" w:type="dxa"/>
              <w:bottom w:w="120" w:type="dxa"/>
              <w:end w:w="140" w:type="dxa"/>
            </w:tcMar>
          </w:tcPr>
          <w:p>
            <w:r>
              <w:rPr>
                <w:sz w:val="18"/>
              </w:rPr>
              <w:t>Time and use</w:t>
            </w:r>
          </w:p>
        </w:tc>
        <w:tc>
          <w:tcPr>
            <w:tcW w:type="dxa" w:w="3742"/>
            <w:vAlign w:val="center"/>
            <w:tcMar>
              <w:top w:w="120" w:type="dxa"/>
              <w:start w:w="140" w:type="dxa"/>
              <w:bottom w:w="120" w:type="dxa"/>
              <w:end w:w="140" w:type="dxa"/>
            </w:tcMar>
          </w:tcPr>
          <w:p>
            <w:r>
              <w:rPr>
                <w:sz w:val="18"/>
              </w:rPr>
              <w:t>Condition consistent with tenancy length and reasonable occupancy.</w:t>
            </w:r>
          </w:p>
        </w:tc>
        <w:tc>
          <w:tcPr>
            <w:tcW w:type="dxa" w:w="3798"/>
            <w:vAlign w:val="center"/>
            <w:tcMar>
              <w:top w:w="120" w:type="dxa"/>
              <w:start w:w="140" w:type="dxa"/>
              <w:bottom w:w="120" w:type="dxa"/>
              <w:end w:w="140" w:type="dxa"/>
            </w:tcMar>
          </w:tcPr>
          <w:p>
            <w:r>
              <w:rPr>
                <w:sz w:val="18"/>
              </w:rPr>
              <w:t>Condition materially worse than expected for the period and occupancy.</w:t>
            </w:r>
          </w:p>
        </w:tc>
      </w:tr>
      <w:tr>
        <w:tc>
          <w:tcPr>
            <w:tcW w:type="dxa" w:w="1814"/>
            <w:vAlign w:val="center"/>
            <w:tcMar>
              <w:top w:w="120" w:type="dxa"/>
              <w:start w:w="140" w:type="dxa"/>
              <w:bottom w:w="120" w:type="dxa"/>
              <w:end w:w="140" w:type="dxa"/>
            </w:tcMar>
            <w:shd w:fill="EEF3F8"/>
          </w:tcPr>
          <w:p>
            <w:r>
              <w:rPr>
                <w:sz w:val="18"/>
              </w:rPr>
              <w:t>Entry evidence</w:t>
            </w:r>
          </w:p>
        </w:tc>
        <w:tc>
          <w:tcPr>
            <w:tcW w:type="dxa" w:w="3742"/>
            <w:vAlign w:val="center"/>
            <w:tcMar>
              <w:top w:w="120" w:type="dxa"/>
              <w:start w:w="140" w:type="dxa"/>
              <w:bottom w:w="120" w:type="dxa"/>
              <w:end w:w="140" w:type="dxa"/>
            </w:tcMar>
            <w:shd w:fill="EEF3F8"/>
          </w:tcPr>
          <w:p>
            <w:r>
              <w:rPr>
                <w:sz w:val="18"/>
              </w:rPr>
              <w:t>Item already old, marked or defective.</w:t>
            </w:r>
          </w:p>
        </w:tc>
        <w:tc>
          <w:tcPr>
            <w:tcW w:type="dxa" w:w="3798"/>
            <w:vAlign w:val="center"/>
            <w:tcMar>
              <w:top w:w="120" w:type="dxa"/>
              <w:start w:w="140" w:type="dxa"/>
              <w:bottom w:w="120" w:type="dxa"/>
              <w:end w:w="140" w:type="dxa"/>
            </w:tcMar>
            <w:shd w:fill="EEF3F8"/>
          </w:tcPr>
          <w:p>
            <w:r>
              <w:rPr>
                <w:sz w:val="18"/>
              </w:rPr>
              <w:t>Item documented in sound condition at entry.</w:t>
            </w:r>
          </w:p>
        </w:tc>
      </w:tr>
      <w:tr>
        <w:tc>
          <w:tcPr>
            <w:tcW w:type="dxa" w:w="1814"/>
            <w:vAlign w:val="center"/>
            <w:tcMar>
              <w:top w:w="120" w:type="dxa"/>
              <w:start w:w="140" w:type="dxa"/>
              <w:bottom w:w="120" w:type="dxa"/>
              <w:end w:w="140" w:type="dxa"/>
            </w:tcMar>
          </w:tcPr>
          <w:p>
            <w:r>
              <w:rPr>
                <w:sz w:val="18"/>
              </w:rPr>
              <w:t>Remedy</w:t>
            </w:r>
          </w:p>
        </w:tc>
        <w:tc>
          <w:tcPr>
            <w:tcW w:type="dxa" w:w="3742"/>
            <w:vAlign w:val="center"/>
            <w:tcMar>
              <w:top w:w="120" w:type="dxa"/>
              <w:start w:w="140" w:type="dxa"/>
              <w:bottom w:w="120" w:type="dxa"/>
              <w:end w:w="140" w:type="dxa"/>
            </w:tcMar>
          </w:tcPr>
          <w:p>
            <w:r>
              <w:rPr>
                <w:sz w:val="18"/>
              </w:rPr>
              <w:t>Routine maintenance or redecoration.</w:t>
            </w:r>
          </w:p>
        </w:tc>
        <w:tc>
          <w:tcPr>
            <w:tcW w:type="dxa" w:w="3798"/>
            <w:vAlign w:val="center"/>
            <w:tcMar>
              <w:top w:w="120" w:type="dxa"/>
              <w:start w:w="140" w:type="dxa"/>
              <w:bottom w:w="120" w:type="dxa"/>
              <w:end w:w="140" w:type="dxa"/>
            </w:tcMar>
          </w:tcPr>
          <w:p>
            <w:r>
              <w:rPr>
                <w:sz w:val="18"/>
              </w:rPr>
              <w:t>Repair required because of identifiable tenant conduct.</w:t>
            </w:r>
          </w:p>
        </w:tc>
      </w:tr>
      <w:tr>
        <w:tc>
          <w:tcPr>
            <w:tcW w:type="dxa" w:w="1814"/>
            <w:vAlign w:val="center"/>
            <w:tcMar>
              <w:top w:w="120" w:type="dxa"/>
              <w:start w:w="140" w:type="dxa"/>
              <w:bottom w:w="120" w:type="dxa"/>
              <w:end w:w="140" w:type="dxa"/>
            </w:tcMar>
            <w:shd w:fill="EEF3F8"/>
          </w:tcPr>
          <w:p>
            <w:r>
              <w:rPr>
                <w:sz w:val="18"/>
              </w:rPr>
              <w:t>Value</w:t>
            </w:r>
          </w:p>
        </w:tc>
        <w:tc>
          <w:tcPr>
            <w:tcW w:type="dxa" w:w="3742"/>
            <w:vAlign w:val="center"/>
            <w:tcMar>
              <w:top w:w="120" w:type="dxa"/>
              <w:start w:w="140" w:type="dxa"/>
              <w:bottom w:w="120" w:type="dxa"/>
              <w:end w:w="140" w:type="dxa"/>
            </w:tcMar>
            <w:shd w:fill="EEF3F8"/>
          </w:tcPr>
          <w:p>
            <w:r>
              <w:rPr>
                <w:sz w:val="18"/>
              </w:rPr>
              <w:t>No charge for normal depreciation.</w:t>
            </w:r>
          </w:p>
        </w:tc>
        <w:tc>
          <w:tcPr>
            <w:tcW w:type="dxa" w:w="3798"/>
            <w:vAlign w:val="center"/>
            <w:tcMar>
              <w:top w:w="120" w:type="dxa"/>
              <w:start w:w="140" w:type="dxa"/>
              <w:bottom w:w="120" w:type="dxa"/>
              <w:end w:w="140" w:type="dxa"/>
            </w:tcMar>
            <w:shd w:fill="EEF3F8"/>
          </w:tcPr>
          <w:p>
            <w:r>
              <w:rPr>
                <w:sz w:val="18"/>
              </w:rPr>
              <w:t>Charge limited to reasonable loss or repair; avoid new-for-old betterment.</w:t>
            </w:r>
          </w:p>
        </w:tc>
      </w:tr>
    </w:tbl>
    <w:p/>
    <w:p>
      <w:pPr>
        <w:pStyle w:val="Heading2"/>
        <w:keepNext/>
      </w:pPr>
      <w:r>
        <w:t>Common examples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6"/>
        <w:gridCol w:w="3286"/>
        <w:gridCol w:w="3286"/>
      </w:tblGrid>
      <w:tr>
        <w:tc>
          <w:tcPr>
            <w:tcW w:type="dxa" w:w="2721"/>
            <w:shd w:fill="183153"/>
            <w:vAlign w:val="center"/>
            <w:tcMar>
              <w:top w:w="120" w:type="dxa"/>
              <w:start w:w="140" w:type="dxa"/>
              <w:bottom w:w="120" w:type="dxa"/>
              <w:end w:w="140" w:type="dxa"/>
            </w:tcMar>
          </w:tcPr>
          <w:p>
            <w:r>
              <w:rPr>
                <w:b/>
                <w:color w:val="FFFFFF"/>
                <w:sz w:val="18"/>
              </w:rPr>
              <w:t>Condition</w:t>
            </w:r>
          </w:p>
        </w:tc>
        <w:tc>
          <w:tcPr>
            <w:tcW w:type="dxa" w:w="2835"/>
            <w:shd w:fill="183153"/>
            <w:vAlign w:val="center"/>
            <w:tcMar>
              <w:top w:w="120" w:type="dxa"/>
              <w:start w:w="140" w:type="dxa"/>
              <w:bottom w:w="120" w:type="dxa"/>
              <w:end w:w="140" w:type="dxa"/>
            </w:tcMar>
          </w:tcPr>
          <w:p>
            <w:r>
              <w:rPr>
                <w:b/>
                <w:color w:val="FFFFFF"/>
                <w:sz w:val="18"/>
              </w:rPr>
              <w:t>Likely starting point</w:t>
            </w:r>
          </w:p>
        </w:tc>
        <w:tc>
          <w:tcPr>
            <w:tcW w:type="dxa" w:w="3798"/>
            <w:shd w:fill="183153"/>
            <w:vAlign w:val="center"/>
            <w:tcMar>
              <w:top w:w="120" w:type="dxa"/>
              <w:start w:w="140" w:type="dxa"/>
              <w:bottom w:w="120" w:type="dxa"/>
              <w:end w:w="140" w:type="dxa"/>
            </w:tcMar>
          </w:tcPr>
          <w:p>
            <w:r>
              <w:rPr>
                <w:b/>
                <w:color w:val="FFFFFF"/>
                <w:sz w:val="18"/>
              </w:rPr>
              <w:t>Evidence required</w:t>
            </w:r>
          </w:p>
        </w:tc>
      </w:tr>
      <w:tr>
        <w:tc>
          <w:tcPr>
            <w:tcW w:type="dxa" w:w="2721"/>
            <w:vAlign w:val="center"/>
            <w:tcMar>
              <w:top w:w="120" w:type="dxa"/>
              <w:start w:w="140" w:type="dxa"/>
              <w:bottom w:w="120" w:type="dxa"/>
              <w:end w:w="140" w:type="dxa"/>
            </w:tcMar>
          </w:tcPr>
          <w:p>
            <w:r>
              <w:rPr>
                <w:sz w:val="18"/>
              </w:rPr>
              <w:t>Light wall scuffs after ordinary occupation</w:t>
            </w:r>
          </w:p>
        </w:tc>
        <w:tc>
          <w:tcPr>
            <w:tcW w:type="dxa" w:w="2835"/>
            <w:vAlign w:val="center"/>
            <w:tcMar>
              <w:top w:w="120" w:type="dxa"/>
              <w:start w:w="140" w:type="dxa"/>
              <w:bottom w:w="120" w:type="dxa"/>
              <w:end w:w="140" w:type="dxa"/>
            </w:tcMar>
          </w:tcPr>
          <w:p>
            <w:r>
              <w:rPr>
                <w:sz w:val="18"/>
              </w:rPr>
              <w:t>Often wear.</w:t>
            </w:r>
          </w:p>
        </w:tc>
        <w:tc>
          <w:tcPr>
            <w:tcW w:type="dxa" w:w="3798"/>
            <w:vAlign w:val="center"/>
            <w:tcMar>
              <w:top w:w="120" w:type="dxa"/>
              <w:start w:w="140" w:type="dxa"/>
              <w:bottom w:w="120" w:type="dxa"/>
              <w:end w:w="140" w:type="dxa"/>
            </w:tcMar>
          </w:tcPr>
          <w:p>
            <w:r>
              <w:rPr>
                <w:sz w:val="18"/>
              </w:rPr>
              <w:t>Entry and exit photographs; tenancy length.</w:t>
            </w:r>
          </w:p>
        </w:tc>
      </w:tr>
      <w:tr>
        <w:tc>
          <w:tcPr>
            <w:tcW w:type="dxa" w:w="2721"/>
            <w:vAlign w:val="center"/>
            <w:tcMar>
              <w:top w:w="120" w:type="dxa"/>
              <w:start w:w="140" w:type="dxa"/>
              <w:bottom w:w="120" w:type="dxa"/>
              <w:end w:w="140" w:type="dxa"/>
            </w:tcMar>
            <w:shd w:fill="EEF3F8"/>
          </w:tcPr>
          <w:p>
            <w:r>
              <w:rPr>
                <w:sz w:val="18"/>
              </w:rPr>
              <w:t>Large holes or unauthorised vivid repainting</w:t>
            </w:r>
          </w:p>
        </w:tc>
        <w:tc>
          <w:tcPr>
            <w:tcW w:type="dxa" w:w="2835"/>
            <w:vAlign w:val="center"/>
            <w:tcMar>
              <w:top w:w="120" w:type="dxa"/>
              <w:start w:w="140" w:type="dxa"/>
              <w:bottom w:w="120" w:type="dxa"/>
              <w:end w:w="140" w:type="dxa"/>
            </w:tcMar>
            <w:shd w:fill="EEF3F8"/>
          </w:tcPr>
          <w:p>
            <w:r>
              <w:rPr>
                <w:sz w:val="18"/>
              </w:rPr>
              <w:t>Potential damage.</w:t>
            </w:r>
          </w:p>
        </w:tc>
        <w:tc>
          <w:tcPr>
            <w:tcW w:type="dxa" w:w="3798"/>
            <w:vAlign w:val="center"/>
            <w:tcMar>
              <w:top w:w="120" w:type="dxa"/>
              <w:start w:w="140" w:type="dxa"/>
              <w:bottom w:w="120" w:type="dxa"/>
              <w:end w:w="140" w:type="dxa"/>
            </w:tcMar>
            <w:shd w:fill="EEF3F8"/>
          </w:tcPr>
          <w:p>
            <w:r>
              <w:rPr>
                <w:sz w:val="18"/>
              </w:rPr>
              <w:t>Consent terms, photographs and reasonable repair cost.</w:t>
            </w:r>
          </w:p>
        </w:tc>
      </w:tr>
      <w:tr>
        <w:tc>
          <w:tcPr>
            <w:tcW w:type="dxa" w:w="2721"/>
            <w:vAlign w:val="center"/>
            <w:tcMar>
              <w:top w:w="120" w:type="dxa"/>
              <w:start w:w="140" w:type="dxa"/>
              <w:bottom w:w="120" w:type="dxa"/>
              <w:end w:w="140" w:type="dxa"/>
            </w:tcMar>
          </w:tcPr>
          <w:p>
            <w:r>
              <w:rPr>
                <w:sz w:val="18"/>
              </w:rPr>
              <w:t>Gradually worn carpet traffic areas</w:t>
            </w:r>
          </w:p>
        </w:tc>
        <w:tc>
          <w:tcPr>
            <w:tcW w:type="dxa" w:w="2835"/>
            <w:vAlign w:val="center"/>
            <w:tcMar>
              <w:top w:w="120" w:type="dxa"/>
              <w:start w:w="140" w:type="dxa"/>
              <w:bottom w:w="120" w:type="dxa"/>
              <w:end w:w="140" w:type="dxa"/>
            </w:tcMar>
          </w:tcPr>
          <w:p>
            <w:r>
              <w:rPr>
                <w:sz w:val="18"/>
              </w:rPr>
              <w:t>Often wear.</w:t>
            </w:r>
          </w:p>
        </w:tc>
        <w:tc>
          <w:tcPr>
            <w:tcW w:type="dxa" w:w="3798"/>
            <w:vAlign w:val="center"/>
            <w:tcMar>
              <w:top w:w="120" w:type="dxa"/>
              <w:start w:w="140" w:type="dxa"/>
              <w:bottom w:w="120" w:type="dxa"/>
              <w:end w:w="140" w:type="dxa"/>
            </w:tcMar>
          </w:tcPr>
          <w:p>
            <w:r>
              <w:rPr>
                <w:sz w:val="18"/>
              </w:rPr>
              <w:t>Carpet age, quality and prior condition.</w:t>
            </w:r>
          </w:p>
        </w:tc>
      </w:tr>
      <w:tr>
        <w:tc>
          <w:tcPr>
            <w:tcW w:type="dxa" w:w="2721"/>
            <w:vAlign w:val="center"/>
            <w:tcMar>
              <w:top w:w="120" w:type="dxa"/>
              <w:start w:w="140" w:type="dxa"/>
              <w:bottom w:w="120" w:type="dxa"/>
              <w:end w:w="140" w:type="dxa"/>
            </w:tcMar>
            <w:shd w:fill="EEF3F8"/>
          </w:tcPr>
          <w:p>
            <w:r>
              <w:rPr>
                <w:sz w:val="18"/>
              </w:rPr>
              <w:t>Burns, tears or severe avoidable stains</w:t>
            </w:r>
          </w:p>
        </w:tc>
        <w:tc>
          <w:tcPr>
            <w:tcW w:type="dxa" w:w="2835"/>
            <w:vAlign w:val="center"/>
            <w:tcMar>
              <w:top w:w="120" w:type="dxa"/>
              <w:start w:w="140" w:type="dxa"/>
              <w:bottom w:w="120" w:type="dxa"/>
              <w:end w:w="140" w:type="dxa"/>
            </w:tcMar>
            <w:shd w:fill="EEF3F8"/>
          </w:tcPr>
          <w:p>
            <w:r>
              <w:rPr>
                <w:sz w:val="18"/>
              </w:rPr>
              <w:t>Potential damage.</w:t>
            </w:r>
          </w:p>
        </w:tc>
        <w:tc>
          <w:tcPr>
            <w:tcW w:type="dxa" w:w="3798"/>
            <w:vAlign w:val="center"/>
            <w:tcMar>
              <w:top w:w="120" w:type="dxa"/>
              <w:start w:w="140" w:type="dxa"/>
              <w:bottom w:w="120" w:type="dxa"/>
              <w:end w:w="140" w:type="dxa"/>
            </w:tcMar>
            <w:shd w:fill="EEF3F8"/>
          </w:tcPr>
          <w:p>
            <w:r>
              <w:rPr>
                <w:sz w:val="18"/>
              </w:rPr>
              <w:t>Entry condition, cause and repair or apportioned replacement cost.</w:t>
            </w:r>
          </w:p>
        </w:tc>
      </w:tr>
      <w:tr>
        <w:tc>
          <w:tcPr>
            <w:tcW w:type="dxa" w:w="2721"/>
            <w:vAlign w:val="center"/>
            <w:tcMar>
              <w:top w:w="120" w:type="dxa"/>
              <w:start w:w="140" w:type="dxa"/>
              <w:bottom w:w="120" w:type="dxa"/>
              <w:end w:w="140" w:type="dxa"/>
            </w:tcMar>
          </w:tcPr>
          <w:p>
            <w:r>
              <w:rPr>
                <w:sz w:val="18"/>
              </w:rPr>
              <w:t>Faded curtains or sun bleaching</w:t>
            </w:r>
          </w:p>
        </w:tc>
        <w:tc>
          <w:tcPr>
            <w:tcW w:type="dxa" w:w="2835"/>
            <w:vAlign w:val="center"/>
            <w:tcMar>
              <w:top w:w="120" w:type="dxa"/>
              <w:start w:w="140" w:type="dxa"/>
              <w:bottom w:w="120" w:type="dxa"/>
              <w:end w:w="140" w:type="dxa"/>
            </w:tcMar>
          </w:tcPr>
          <w:p>
            <w:r>
              <w:rPr>
                <w:sz w:val="18"/>
              </w:rPr>
              <w:t>Usually wear or natural forces.</w:t>
            </w:r>
          </w:p>
        </w:tc>
        <w:tc>
          <w:tcPr>
            <w:tcW w:type="dxa" w:w="3798"/>
            <w:vAlign w:val="center"/>
            <w:tcMar>
              <w:top w:w="120" w:type="dxa"/>
              <w:start w:w="140" w:type="dxa"/>
              <w:bottom w:w="120" w:type="dxa"/>
              <w:end w:w="140" w:type="dxa"/>
            </w:tcMar>
          </w:tcPr>
          <w:p>
            <w:r>
              <w:rPr>
                <w:sz w:val="18"/>
              </w:rPr>
              <w:t>Age and exposure.</w:t>
            </w:r>
          </w:p>
        </w:tc>
      </w:tr>
      <w:tr>
        <w:tc>
          <w:tcPr>
            <w:tcW w:type="dxa" w:w="2721"/>
            <w:vAlign w:val="center"/>
            <w:tcMar>
              <w:top w:w="120" w:type="dxa"/>
              <w:start w:w="140" w:type="dxa"/>
              <w:bottom w:w="120" w:type="dxa"/>
              <w:end w:w="140" w:type="dxa"/>
            </w:tcMar>
            <w:shd w:fill="EEF3F8"/>
          </w:tcPr>
          <w:p>
            <w:r>
              <w:rPr>
                <w:sz w:val="18"/>
              </w:rPr>
              <w:t>Broken door or appliance through misuse</w:t>
            </w:r>
          </w:p>
        </w:tc>
        <w:tc>
          <w:tcPr>
            <w:tcW w:type="dxa" w:w="2835"/>
            <w:vAlign w:val="center"/>
            <w:tcMar>
              <w:top w:w="120" w:type="dxa"/>
              <w:start w:w="140" w:type="dxa"/>
              <w:bottom w:w="120" w:type="dxa"/>
              <w:end w:w="140" w:type="dxa"/>
            </w:tcMar>
            <w:shd w:fill="EEF3F8"/>
          </w:tcPr>
          <w:p>
            <w:r>
              <w:rPr>
                <w:sz w:val="18"/>
              </w:rPr>
              <w:t>Potential damage.</w:t>
            </w:r>
          </w:p>
        </w:tc>
        <w:tc>
          <w:tcPr>
            <w:tcW w:type="dxa" w:w="3798"/>
            <w:vAlign w:val="center"/>
            <w:tcMar>
              <w:top w:w="120" w:type="dxa"/>
              <w:start w:w="140" w:type="dxa"/>
              <w:bottom w:w="120" w:type="dxa"/>
              <w:end w:w="140" w:type="dxa"/>
            </w:tcMar>
            <w:shd w:fill="EEF3F8"/>
          </w:tcPr>
          <w:p>
            <w:r>
              <w:rPr>
                <w:sz w:val="18"/>
              </w:rPr>
              <w:t>Causation, repair report and receipt.</w:t>
            </w:r>
          </w:p>
        </w:tc>
      </w:tr>
      <w:tr>
        <w:tc>
          <w:tcPr>
            <w:tcW w:type="dxa" w:w="2721"/>
            <w:vAlign w:val="center"/>
            <w:tcMar>
              <w:top w:w="120" w:type="dxa"/>
              <w:start w:w="140" w:type="dxa"/>
              <w:bottom w:w="120" w:type="dxa"/>
              <w:end w:w="140" w:type="dxa"/>
            </w:tcMar>
          </w:tcPr>
          <w:p>
            <w:r>
              <w:rPr>
                <w:sz w:val="18"/>
              </w:rPr>
              <w:t>Mould</w:t>
            </w:r>
          </w:p>
        </w:tc>
        <w:tc>
          <w:tcPr>
            <w:tcW w:type="dxa" w:w="2835"/>
            <w:vAlign w:val="center"/>
            <w:tcMar>
              <w:top w:w="120" w:type="dxa"/>
              <w:start w:w="140" w:type="dxa"/>
              <w:bottom w:w="120" w:type="dxa"/>
              <w:end w:w="140" w:type="dxa"/>
            </w:tcMar>
          </w:tcPr>
          <w:p>
            <w:r>
              <w:rPr>
                <w:sz w:val="18"/>
              </w:rPr>
              <w:t>Fact sensitive.</w:t>
            </w:r>
          </w:p>
        </w:tc>
        <w:tc>
          <w:tcPr>
            <w:tcW w:type="dxa" w:w="3798"/>
            <w:vAlign w:val="center"/>
            <w:tcMar>
              <w:top w:w="120" w:type="dxa"/>
              <w:start w:w="140" w:type="dxa"/>
              <w:bottom w:w="120" w:type="dxa"/>
              <w:end w:w="140" w:type="dxa"/>
            </w:tcMar>
          </w:tcPr>
          <w:p>
            <w:r>
              <w:rPr>
                <w:sz w:val="18"/>
              </w:rPr>
              <w:t>Ventilation, leaks, reports, notices and tenant conduct.</w:t>
            </w:r>
          </w:p>
        </w:tc>
      </w:tr>
    </w:tbl>
    <w:p/>
    <w:p>
      <w:r>
        <w:t>There is no verified reported authority called the “Hammond Pole working test”. Do not describe a law firm article as binding case law. Base the decision on the statutory inspection framework, the lease, ordinary principles of proof and reliable South African authority.</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